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276" w:lineRule="auto"/>
        <w:jc w:val="center"/>
        <w:rPr>
          <w:rFonts w:ascii="微软雅黑" w:hAnsi="微软雅黑" w:eastAsia="微软雅黑"/>
          <w:b/>
          <w:kern w:val="0"/>
          <w:sz w:val="30"/>
          <w:szCs w:val="30"/>
        </w:rPr>
      </w:pPr>
      <w:r>
        <w:rPr>
          <w:rFonts w:hint="eastAsia" w:ascii="微软雅黑" w:hAnsi="微软雅黑" w:eastAsia="微软雅黑"/>
          <w:b/>
          <w:kern w:val="0"/>
          <w:sz w:val="30"/>
          <w:szCs w:val="30"/>
        </w:rPr>
        <w:t>中国计量科学研究院</w:t>
      </w:r>
    </w:p>
    <w:p>
      <w:pPr>
        <w:adjustRightInd w:val="0"/>
        <w:snapToGrid w:val="0"/>
        <w:spacing w:before="156" w:beforeLines="50" w:after="156" w:afterLines="50" w:line="276" w:lineRule="auto"/>
        <w:jc w:val="center"/>
        <w:rPr>
          <w:rFonts w:ascii="微软雅黑" w:hAnsi="微软雅黑" w:eastAsia="微软雅黑"/>
          <w:b/>
          <w:kern w:val="0"/>
          <w:sz w:val="30"/>
          <w:szCs w:val="30"/>
        </w:rPr>
      </w:pPr>
      <w:r>
        <w:rPr>
          <w:rFonts w:hint="eastAsia" w:ascii="微软雅黑" w:hAnsi="微软雅黑" w:eastAsia="微软雅黑"/>
          <w:b/>
          <w:kern w:val="0"/>
          <w:sz w:val="30"/>
          <w:szCs w:val="30"/>
        </w:rPr>
        <w:t>202</w:t>
      </w:r>
      <w:r>
        <w:rPr>
          <w:rFonts w:hint="eastAsia" w:ascii="微软雅黑" w:hAnsi="微软雅黑" w:eastAsia="微软雅黑"/>
          <w:b/>
          <w:kern w:val="0"/>
          <w:sz w:val="30"/>
          <w:szCs w:val="30"/>
          <w:lang w:val="en-US" w:eastAsia="zh-CN"/>
        </w:rPr>
        <w:t>2</w:t>
      </w:r>
      <w:bookmarkStart w:id="0" w:name="_GoBack"/>
      <w:bookmarkEnd w:id="0"/>
      <w:r>
        <w:rPr>
          <w:rFonts w:hint="eastAsia" w:ascii="微软雅黑" w:hAnsi="微软雅黑" w:eastAsia="微软雅黑"/>
          <w:b/>
          <w:kern w:val="0"/>
          <w:sz w:val="30"/>
          <w:szCs w:val="30"/>
        </w:rPr>
        <w:t>年度开放项目申请指南</w:t>
      </w:r>
    </w:p>
    <w:p>
      <w:pPr>
        <w:pStyle w:val="12"/>
        <w:numPr>
          <w:ilvl w:val="0"/>
          <w:numId w:val="1"/>
        </w:numPr>
        <w:spacing w:line="360" w:lineRule="auto"/>
        <w:ind w:firstLineChars="0"/>
        <w:rPr>
          <w:b/>
          <w:bCs/>
          <w:szCs w:val="24"/>
        </w:rPr>
      </w:pPr>
      <w:r>
        <w:rPr>
          <w:rFonts w:hint="eastAsia"/>
          <w:b/>
          <w:bCs/>
          <w:szCs w:val="24"/>
        </w:rPr>
        <w:t>生物功能性多肽高效分离纯化与关键定值技术研究</w:t>
      </w:r>
    </w:p>
    <w:p>
      <w:pPr>
        <w:spacing w:line="360" w:lineRule="auto"/>
        <w:ind w:firstLine="420"/>
        <w:rPr>
          <w:szCs w:val="24"/>
        </w:rPr>
      </w:pPr>
      <w:r>
        <w:rPr>
          <w:rFonts w:hint="eastAsia"/>
          <w:b/>
          <w:bCs/>
          <w:szCs w:val="24"/>
        </w:rPr>
        <w:t>研究内容：</w:t>
      </w:r>
      <w:r>
        <w:rPr>
          <w:rFonts w:hint="eastAsia"/>
          <w:szCs w:val="24"/>
        </w:rPr>
        <w:t>研究具有抗菌抗炎等活性的新兴生物功能性多肽分离纯化方法；研究基于功能化复合材料的多肽富集方法；研究基于生物质谱的多肽准确鉴别与纯度定值关键技术。</w:t>
      </w:r>
    </w:p>
    <w:p>
      <w:pPr>
        <w:spacing w:line="360" w:lineRule="auto"/>
        <w:ind w:firstLine="420"/>
        <w:rPr>
          <w:szCs w:val="24"/>
        </w:rPr>
      </w:pPr>
      <w:r>
        <w:rPr>
          <w:rFonts w:hint="eastAsia"/>
          <w:b/>
          <w:bCs/>
          <w:szCs w:val="24"/>
        </w:rPr>
        <w:t>考核指标：</w:t>
      </w:r>
      <w:r>
        <w:rPr>
          <w:rFonts w:hint="eastAsia"/>
          <w:szCs w:val="24"/>
        </w:rPr>
        <w:t>建立1种功能性多肽分离纯化制备技术，建立1种多肽定值方法，发表1篇科学论文。</w:t>
      </w:r>
    </w:p>
    <w:p>
      <w:pPr>
        <w:pStyle w:val="12"/>
        <w:numPr>
          <w:ilvl w:val="0"/>
          <w:numId w:val="1"/>
        </w:numPr>
        <w:spacing w:line="360" w:lineRule="auto"/>
        <w:ind w:firstLineChars="0"/>
        <w:rPr>
          <w:b/>
          <w:bCs/>
          <w:szCs w:val="24"/>
        </w:rPr>
      </w:pPr>
      <w:r>
        <w:rPr>
          <w:rFonts w:hint="eastAsia"/>
          <w:b/>
          <w:bCs/>
          <w:szCs w:val="24"/>
        </w:rPr>
        <w:t>电荷探测质谱计算机仿真技术研究</w:t>
      </w:r>
    </w:p>
    <w:p>
      <w:pPr>
        <w:spacing w:line="360" w:lineRule="auto"/>
        <w:ind w:firstLine="420"/>
        <w:rPr>
          <w:szCs w:val="24"/>
        </w:rPr>
      </w:pPr>
      <w:r>
        <w:rPr>
          <w:rFonts w:hint="eastAsia"/>
          <w:b/>
          <w:bCs/>
          <w:szCs w:val="24"/>
        </w:rPr>
        <w:t>研究内容：</w:t>
      </w:r>
      <w:r>
        <w:rPr>
          <w:rFonts w:hint="eastAsia"/>
          <w:szCs w:val="24"/>
        </w:rPr>
        <w:t>研究电荷探测质谱对离子电荷数与质荷比的检测原理，建立电荷探测质谱中单离子检测过程的物理模型，使用软件对检测过程进行仿真模拟，计算电场分布与离子轨迹。研究两种不同类型的电荷探测装置以及两种不同的单离子测量方式对检测效果的影响。</w:t>
      </w:r>
    </w:p>
    <w:p>
      <w:pPr>
        <w:spacing w:line="360" w:lineRule="auto"/>
        <w:ind w:firstLine="420"/>
        <w:rPr>
          <w:szCs w:val="24"/>
        </w:rPr>
      </w:pPr>
      <w:r>
        <w:rPr>
          <w:rFonts w:hint="eastAsia"/>
          <w:b/>
          <w:bCs/>
          <w:szCs w:val="24"/>
        </w:rPr>
        <w:t>考核指标：</w:t>
      </w:r>
      <w:r>
        <w:rPr>
          <w:rFonts w:hint="eastAsia"/>
          <w:szCs w:val="24"/>
        </w:rPr>
        <w:t>使用模拟软件建立单离子检测的离子光学模型2套，分别对应2种不同的电荷探测装置类型和2种不同的单离子测量方式；发表论文1篇。</w:t>
      </w:r>
    </w:p>
    <w:p>
      <w:pPr>
        <w:pStyle w:val="12"/>
        <w:numPr>
          <w:ilvl w:val="0"/>
          <w:numId w:val="1"/>
        </w:numPr>
        <w:spacing w:line="360" w:lineRule="auto"/>
        <w:ind w:firstLineChars="0"/>
        <w:rPr>
          <w:b/>
          <w:bCs/>
          <w:szCs w:val="24"/>
        </w:rPr>
      </w:pPr>
      <w:r>
        <w:rPr>
          <w:rFonts w:hint="eastAsia"/>
          <w:b/>
          <w:bCs/>
          <w:szCs w:val="24"/>
        </w:rPr>
        <w:t>质谱仪系统中倍增器性能的理论分析研究</w:t>
      </w:r>
    </w:p>
    <w:p>
      <w:pPr>
        <w:spacing w:line="360" w:lineRule="auto"/>
        <w:ind w:firstLine="420"/>
        <w:rPr>
          <w:szCs w:val="24"/>
        </w:rPr>
      </w:pPr>
      <w:r>
        <w:rPr>
          <w:rFonts w:hint="eastAsia"/>
          <w:b/>
          <w:bCs/>
          <w:szCs w:val="24"/>
        </w:rPr>
        <w:t>研究内容：</w:t>
      </w:r>
      <w:r>
        <w:rPr>
          <w:rFonts w:hint="eastAsia"/>
          <w:szCs w:val="24"/>
        </w:rPr>
        <w:t>建立多种几何结构的倍增器物理模型，理论研究倍增器中的电场分布，模拟倍增器中离子的运动轨迹，分析倍增器的结构、电压、位置、内置气体等相关参数对离子传输效率的影响。</w:t>
      </w:r>
    </w:p>
    <w:p>
      <w:pPr>
        <w:spacing w:line="360" w:lineRule="auto"/>
        <w:ind w:firstLine="420"/>
        <w:rPr>
          <w:szCs w:val="24"/>
        </w:rPr>
      </w:pPr>
      <w:r>
        <w:rPr>
          <w:rFonts w:hint="eastAsia"/>
          <w:b/>
          <w:bCs/>
          <w:szCs w:val="24"/>
        </w:rPr>
        <w:t>考核指标：</w:t>
      </w:r>
      <w:r>
        <w:rPr>
          <w:rFonts w:hint="eastAsia"/>
          <w:szCs w:val="24"/>
        </w:rPr>
        <w:t>获得倍增器对离子的吸收、传输特性，获得倍增器的最优结构参数和工作条件，申请专利1项，发表1篇科研论文。</w:t>
      </w:r>
    </w:p>
    <w:p>
      <w:pPr>
        <w:numPr>
          <w:ilvl w:val="0"/>
          <w:numId w:val="1"/>
        </w:numPr>
        <w:spacing w:line="360" w:lineRule="auto"/>
        <w:rPr>
          <w:rFonts w:ascii="Times New Roman" w:hAnsi="Times New Roman" w:cs="Times New Roman"/>
          <w:b/>
          <w:bCs/>
        </w:rPr>
      </w:pPr>
      <w:r>
        <w:rPr>
          <w:rFonts w:ascii="Times New Roman" w:hAnsi="Times New Roman" w:cs="Times New Roman"/>
          <w:b/>
          <w:bCs/>
        </w:rPr>
        <w:t>基于同位素稀释质谱法的海参</w:t>
      </w:r>
      <w:r>
        <w:rPr>
          <w:rFonts w:hint="eastAsia" w:ascii="Times New Roman" w:hAnsi="Times New Roman" w:cs="Times New Roman"/>
          <w:b/>
          <w:bCs/>
        </w:rPr>
        <w:t>多糖类</w:t>
      </w:r>
      <w:r>
        <w:rPr>
          <w:rFonts w:ascii="Times New Roman" w:hAnsi="Times New Roman" w:cs="Times New Roman"/>
          <w:b/>
          <w:bCs/>
        </w:rPr>
        <w:t>功能因子高准确定值方法研究</w:t>
      </w:r>
    </w:p>
    <w:p>
      <w:pPr>
        <w:spacing w:line="360" w:lineRule="auto"/>
        <w:ind w:firstLine="422" w:firstLineChars="200"/>
        <w:rPr>
          <w:rFonts w:ascii="Times New Roman" w:hAnsi="Times New Roman" w:cs="Times New Roman"/>
        </w:rPr>
      </w:pPr>
      <w:r>
        <w:rPr>
          <w:rFonts w:ascii="Times New Roman" w:hAnsi="Times New Roman" w:cs="Times New Roman"/>
          <w:b/>
          <w:bCs/>
        </w:rPr>
        <w:t>研究内容：</w:t>
      </w:r>
      <w:r>
        <w:rPr>
          <w:rFonts w:ascii="Times New Roman" w:hAnsi="Times New Roman" w:cs="Times New Roman"/>
          <w:bCs/>
        </w:rPr>
        <w:t>研究海参品质评价急需功能因子海参多糖</w:t>
      </w:r>
      <w:r>
        <w:rPr>
          <w:rFonts w:hint="eastAsia" w:ascii="Times New Roman" w:hAnsi="Times New Roman" w:cs="Times New Roman"/>
          <w:bCs/>
        </w:rPr>
        <w:t>的</w:t>
      </w:r>
      <w:r>
        <w:rPr>
          <w:rFonts w:ascii="Times New Roman" w:hAnsi="Times New Roman" w:cs="Times New Roman"/>
          <w:bCs/>
        </w:rPr>
        <w:t>纯品分级</w:t>
      </w:r>
      <w:r>
        <w:rPr>
          <w:rFonts w:hint="eastAsia" w:ascii="Times New Roman" w:hAnsi="Times New Roman" w:cs="Times New Roman"/>
          <w:bCs/>
        </w:rPr>
        <w:t>分析</w:t>
      </w:r>
      <w:r>
        <w:rPr>
          <w:rFonts w:ascii="Times New Roman" w:hAnsi="Times New Roman" w:cs="Times New Roman"/>
          <w:bCs/>
        </w:rPr>
        <w:t>方法</w:t>
      </w:r>
      <w:r>
        <w:rPr>
          <w:rFonts w:hint="eastAsia" w:ascii="Times New Roman" w:hAnsi="Times New Roman" w:cs="Times New Roman"/>
        </w:rPr>
        <w:t>；</w:t>
      </w:r>
      <w:r>
        <w:rPr>
          <w:rFonts w:ascii="Times New Roman" w:hAnsi="Times New Roman" w:cs="Times New Roman"/>
        </w:rPr>
        <w:t>研究海参多糖特征寡糖片段有效获得</w:t>
      </w:r>
      <w:r>
        <w:rPr>
          <w:rFonts w:hint="eastAsia" w:ascii="Times New Roman" w:hAnsi="Times New Roman" w:cs="Times New Roman"/>
        </w:rPr>
        <w:t>及</w:t>
      </w:r>
      <w:r>
        <w:rPr>
          <w:rFonts w:ascii="Times New Roman" w:hAnsi="Times New Roman" w:cs="Times New Roman"/>
        </w:rPr>
        <w:t>富集技术</w:t>
      </w:r>
      <w:r>
        <w:rPr>
          <w:rFonts w:hint="eastAsia" w:ascii="Times New Roman" w:hAnsi="Times New Roman" w:cs="Times New Roman"/>
        </w:rPr>
        <w:t>；</w:t>
      </w:r>
      <w:r>
        <w:rPr>
          <w:rFonts w:ascii="Times New Roman" w:hAnsi="Times New Roman" w:cs="Times New Roman"/>
        </w:rPr>
        <w:t>研究海参多糖高准确定值共性关键技术，开展不确定度影响因素评估。</w:t>
      </w:r>
    </w:p>
    <w:p>
      <w:pPr>
        <w:spacing w:line="360" w:lineRule="auto"/>
        <w:ind w:firstLine="422" w:firstLineChars="200"/>
        <w:rPr>
          <w:rFonts w:ascii="Times New Roman" w:hAnsi="Times New Roman" w:cs="Times New Roman"/>
        </w:rPr>
      </w:pPr>
      <w:r>
        <w:rPr>
          <w:rFonts w:ascii="Times New Roman" w:hAnsi="Times New Roman" w:cs="Times New Roman"/>
          <w:b/>
          <w:bCs/>
        </w:rPr>
        <w:t>考核指标：</w:t>
      </w:r>
      <w:r>
        <w:rPr>
          <w:rFonts w:ascii="Times New Roman" w:hAnsi="Times New Roman" w:cs="Times New Roman"/>
        </w:rPr>
        <w:t>制备海参营养功效评价因子海参多糖/寡糖高纯度原料1种，色谱纯度≥98%；研制基于同位素稀释质谱法的海参多糖/寡糖高准确定值方法1种；撰写</w:t>
      </w:r>
      <w:r>
        <w:rPr>
          <w:rFonts w:hint="eastAsia" w:ascii="Times New Roman" w:hAnsi="Times New Roman" w:cs="Times New Roman"/>
        </w:rPr>
        <w:t>研究</w:t>
      </w:r>
      <w:r>
        <w:rPr>
          <w:rFonts w:ascii="Times New Roman" w:hAnsi="Times New Roman" w:cs="Times New Roman"/>
        </w:rPr>
        <w:t>报告1份，发表学术论文1篇。</w:t>
      </w:r>
    </w:p>
    <w:p>
      <w:pPr>
        <w:spacing w:line="360" w:lineRule="auto"/>
        <w:rPr>
          <w:rFonts w:hint="eastAsia" w:ascii="宋体" w:hAnsi="宋体" w:eastAsia="宋体"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F3618"/>
    <w:multiLevelType w:val="multilevel"/>
    <w:tmpl w:val="77BF36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CB"/>
    <w:rsid w:val="00012F3A"/>
    <w:rsid w:val="00017F6E"/>
    <w:rsid w:val="00022041"/>
    <w:rsid w:val="0002546D"/>
    <w:rsid w:val="000471AB"/>
    <w:rsid w:val="00051941"/>
    <w:rsid w:val="00055D79"/>
    <w:rsid w:val="00070A1D"/>
    <w:rsid w:val="00081BCA"/>
    <w:rsid w:val="000A0FFA"/>
    <w:rsid w:val="000A34BB"/>
    <w:rsid w:val="000F5FCC"/>
    <w:rsid w:val="001064A0"/>
    <w:rsid w:val="00116739"/>
    <w:rsid w:val="00151798"/>
    <w:rsid w:val="00155C92"/>
    <w:rsid w:val="00161DF5"/>
    <w:rsid w:val="00195547"/>
    <w:rsid w:val="001A0E30"/>
    <w:rsid w:val="001A2D43"/>
    <w:rsid w:val="001B1066"/>
    <w:rsid w:val="001D7042"/>
    <w:rsid w:val="001F592C"/>
    <w:rsid w:val="001F7CFA"/>
    <w:rsid w:val="002018FA"/>
    <w:rsid w:val="00220C75"/>
    <w:rsid w:val="0023225B"/>
    <w:rsid w:val="00246D8F"/>
    <w:rsid w:val="00271AB8"/>
    <w:rsid w:val="00273CEE"/>
    <w:rsid w:val="002C02B3"/>
    <w:rsid w:val="002D3507"/>
    <w:rsid w:val="002D7216"/>
    <w:rsid w:val="002E0ED1"/>
    <w:rsid w:val="002F51EF"/>
    <w:rsid w:val="0030704E"/>
    <w:rsid w:val="00331934"/>
    <w:rsid w:val="003370B8"/>
    <w:rsid w:val="00342110"/>
    <w:rsid w:val="00342E35"/>
    <w:rsid w:val="00355C89"/>
    <w:rsid w:val="00361254"/>
    <w:rsid w:val="00372043"/>
    <w:rsid w:val="003901F1"/>
    <w:rsid w:val="003A4254"/>
    <w:rsid w:val="003D5746"/>
    <w:rsid w:val="003E1254"/>
    <w:rsid w:val="003E6470"/>
    <w:rsid w:val="0040008C"/>
    <w:rsid w:val="00402577"/>
    <w:rsid w:val="004172A6"/>
    <w:rsid w:val="004179D3"/>
    <w:rsid w:val="00430145"/>
    <w:rsid w:val="00464D53"/>
    <w:rsid w:val="00466BC9"/>
    <w:rsid w:val="004765A4"/>
    <w:rsid w:val="004A09CB"/>
    <w:rsid w:val="004A21C1"/>
    <w:rsid w:val="004A2957"/>
    <w:rsid w:val="004B3881"/>
    <w:rsid w:val="004C081B"/>
    <w:rsid w:val="004C619D"/>
    <w:rsid w:val="004E4BE5"/>
    <w:rsid w:val="005011CD"/>
    <w:rsid w:val="00511B90"/>
    <w:rsid w:val="005152E6"/>
    <w:rsid w:val="00516997"/>
    <w:rsid w:val="00526458"/>
    <w:rsid w:val="00540799"/>
    <w:rsid w:val="005409E4"/>
    <w:rsid w:val="00543303"/>
    <w:rsid w:val="0055033E"/>
    <w:rsid w:val="005546D0"/>
    <w:rsid w:val="00565D6F"/>
    <w:rsid w:val="0057370A"/>
    <w:rsid w:val="00597174"/>
    <w:rsid w:val="005B105A"/>
    <w:rsid w:val="005C0D13"/>
    <w:rsid w:val="005C7272"/>
    <w:rsid w:val="005D053F"/>
    <w:rsid w:val="005D2956"/>
    <w:rsid w:val="005D67C8"/>
    <w:rsid w:val="005E12A3"/>
    <w:rsid w:val="005E41E4"/>
    <w:rsid w:val="005E7ECC"/>
    <w:rsid w:val="005F3AB8"/>
    <w:rsid w:val="00612957"/>
    <w:rsid w:val="0061411B"/>
    <w:rsid w:val="006358C0"/>
    <w:rsid w:val="00636A71"/>
    <w:rsid w:val="006652CB"/>
    <w:rsid w:val="0067054B"/>
    <w:rsid w:val="00674740"/>
    <w:rsid w:val="00674858"/>
    <w:rsid w:val="006905E6"/>
    <w:rsid w:val="0069514A"/>
    <w:rsid w:val="006F5287"/>
    <w:rsid w:val="00712C45"/>
    <w:rsid w:val="00715AFA"/>
    <w:rsid w:val="00733768"/>
    <w:rsid w:val="007472DA"/>
    <w:rsid w:val="00752A3C"/>
    <w:rsid w:val="00785454"/>
    <w:rsid w:val="00794C2B"/>
    <w:rsid w:val="007A2299"/>
    <w:rsid w:val="007A22EE"/>
    <w:rsid w:val="007A5EA4"/>
    <w:rsid w:val="007B220D"/>
    <w:rsid w:val="007C055C"/>
    <w:rsid w:val="007D22BA"/>
    <w:rsid w:val="007E12DD"/>
    <w:rsid w:val="007E360B"/>
    <w:rsid w:val="007E6450"/>
    <w:rsid w:val="007E657E"/>
    <w:rsid w:val="007E7F16"/>
    <w:rsid w:val="007E7F69"/>
    <w:rsid w:val="007F4953"/>
    <w:rsid w:val="007F7C7E"/>
    <w:rsid w:val="00814101"/>
    <w:rsid w:val="00836C7B"/>
    <w:rsid w:val="00850E5D"/>
    <w:rsid w:val="008B7237"/>
    <w:rsid w:val="008F6A4D"/>
    <w:rsid w:val="0090348F"/>
    <w:rsid w:val="00903A94"/>
    <w:rsid w:val="0090659E"/>
    <w:rsid w:val="0091548E"/>
    <w:rsid w:val="00926DFC"/>
    <w:rsid w:val="009359BD"/>
    <w:rsid w:val="009762F4"/>
    <w:rsid w:val="009948CA"/>
    <w:rsid w:val="009A663F"/>
    <w:rsid w:val="009A7D05"/>
    <w:rsid w:val="009B1AAA"/>
    <w:rsid w:val="009B3263"/>
    <w:rsid w:val="009C1EFF"/>
    <w:rsid w:val="009D2D5A"/>
    <w:rsid w:val="009E45AE"/>
    <w:rsid w:val="00A14A10"/>
    <w:rsid w:val="00A2099E"/>
    <w:rsid w:val="00A2453B"/>
    <w:rsid w:val="00A27B43"/>
    <w:rsid w:val="00A55B98"/>
    <w:rsid w:val="00A90BFF"/>
    <w:rsid w:val="00A96A43"/>
    <w:rsid w:val="00A96A4B"/>
    <w:rsid w:val="00AA176C"/>
    <w:rsid w:val="00AA706F"/>
    <w:rsid w:val="00AB63B7"/>
    <w:rsid w:val="00AB65CA"/>
    <w:rsid w:val="00AD0365"/>
    <w:rsid w:val="00AE0790"/>
    <w:rsid w:val="00B24885"/>
    <w:rsid w:val="00B27A2D"/>
    <w:rsid w:val="00B33B9B"/>
    <w:rsid w:val="00B53B3A"/>
    <w:rsid w:val="00B854C6"/>
    <w:rsid w:val="00B872D8"/>
    <w:rsid w:val="00BA72F0"/>
    <w:rsid w:val="00BC37F1"/>
    <w:rsid w:val="00BC6026"/>
    <w:rsid w:val="00BE7496"/>
    <w:rsid w:val="00BF755B"/>
    <w:rsid w:val="00C04D65"/>
    <w:rsid w:val="00C0758C"/>
    <w:rsid w:val="00C20B08"/>
    <w:rsid w:val="00C33186"/>
    <w:rsid w:val="00C34D99"/>
    <w:rsid w:val="00C4046D"/>
    <w:rsid w:val="00C70F99"/>
    <w:rsid w:val="00C77B9B"/>
    <w:rsid w:val="00C83ADC"/>
    <w:rsid w:val="00C96347"/>
    <w:rsid w:val="00CB44D8"/>
    <w:rsid w:val="00CC2496"/>
    <w:rsid w:val="00CD21A8"/>
    <w:rsid w:val="00CE64A7"/>
    <w:rsid w:val="00CF0DCB"/>
    <w:rsid w:val="00D039DC"/>
    <w:rsid w:val="00D10A70"/>
    <w:rsid w:val="00D22140"/>
    <w:rsid w:val="00D22855"/>
    <w:rsid w:val="00D27A03"/>
    <w:rsid w:val="00D70322"/>
    <w:rsid w:val="00DA0F28"/>
    <w:rsid w:val="00DC7CB5"/>
    <w:rsid w:val="00DD6A13"/>
    <w:rsid w:val="00DE498B"/>
    <w:rsid w:val="00E1617D"/>
    <w:rsid w:val="00E51186"/>
    <w:rsid w:val="00E5705D"/>
    <w:rsid w:val="00E6078D"/>
    <w:rsid w:val="00E607DD"/>
    <w:rsid w:val="00E923AA"/>
    <w:rsid w:val="00EC4609"/>
    <w:rsid w:val="00EF24A9"/>
    <w:rsid w:val="00EF59FC"/>
    <w:rsid w:val="00F01815"/>
    <w:rsid w:val="00F3309B"/>
    <w:rsid w:val="00F37423"/>
    <w:rsid w:val="00F57A06"/>
    <w:rsid w:val="00F6729F"/>
    <w:rsid w:val="00F71F6A"/>
    <w:rsid w:val="00F9265F"/>
    <w:rsid w:val="00FA63E2"/>
    <w:rsid w:val="00FA6F32"/>
    <w:rsid w:val="00FE11C1"/>
    <w:rsid w:val="0FCB77DB"/>
    <w:rsid w:val="14A62018"/>
    <w:rsid w:val="30224C82"/>
    <w:rsid w:val="47517459"/>
    <w:rsid w:val="521042F1"/>
    <w:rsid w:val="631841B9"/>
    <w:rsid w:val="663D59C1"/>
    <w:rsid w:val="7039593B"/>
    <w:rsid w:val="7FC75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文档结构图 字符"/>
    <w:basedOn w:val="7"/>
    <w:link w:val="2"/>
    <w:semiHidden/>
    <w:qFormat/>
    <w:uiPriority w:val="99"/>
    <w:rPr>
      <w:rFonts w:ascii="宋体" w:eastAsia="宋体"/>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54</Words>
  <Characters>308</Characters>
  <Lines>2</Lines>
  <Paragraphs>1</Paragraphs>
  <TotalTime>0</TotalTime>
  <ScaleCrop>false</ScaleCrop>
  <LinksUpToDate>false</LinksUpToDate>
  <CharactersWithSpaces>361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2020-03-03T08:38:00Z</dcterms:created>
  <dc:creator>xxc</dc:creator>
  <cp:lastModifiedBy>屈子裕</cp:lastModifiedBy>
  <cp:lastPrinted>2016-04-01T02:38:00Z</cp:lastPrinted>
  <dcterms:modified xsi:type="dcterms:W3CDTF">2022-04-08T07:53:22Z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0001D7D37F8243719B88407449FACFB4</vt:lpwstr>
  </property>
</Properties>
</file>