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D11D1" w14:textId="77777777" w:rsidR="00A53A13" w:rsidRDefault="00FC59EC" w:rsidP="00B93633">
      <w:pPr>
        <w:widowControl/>
        <w:spacing w:line="520" w:lineRule="exac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重点</w:t>
      </w:r>
      <w:r>
        <w:rPr>
          <w:rFonts w:asciiTheme="minorEastAsia" w:hAnsiTheme="minorEastAsia"/>
          <w:sz w:val="36"/>
          <w:szCs w:val="36"/>
        </w:rPr>
        <w:t>实验室开放课题</w:t>
      </w:r>
      <w:r>
        <w:rPr>
          <w:rFonts w:asciiTheme="minorEastAsia" w:hAnsiTheme="minorEastAsia" w:hint="eastAsia"/>
          <w:sz w:val="36"/>
          <w:szCs w:val="36"/>
        </w:rPr>
        <w:t>申报</w:t>
      </w:r>
      <w:r>
        <w:rPr>
          <w:rFonts w:asciiTheme="minorEastAsia" w:hAnsiTheme="minorEastAsia"/>
          <w:sz w:val="36"/>
          <w:szCs w:val="36"/>
        </w:rPr>
        <w:t>指南</w:t>
      </w:r>
    </w:p>
    <w:p w14:paraId="50C14E46" w14:textId="77777777" w:rsidR="00A53A13" w:rsidRDefault="00A53A13" w:rsidP="00B93633">
      <w:pPr>
        <w:widowControl/>
        <w:spacing w:line="520" w:lineRule="exact"/>
        <w:rPr>
          <w:rFonts w:asciiTheme="minorEastAsia" w:hAnsiTheme="minorEastAsia"/>
          <w:sz w:val="28"/>
          <w:szCs w:val="28"/>
        </w:rPr>
      </w:pPr>
    </w:p>
    <w:p w14:paraId="22E4BAFC" w14:textId="77777777" w:rsidR="00A53A13" w:rsidRDefault="00FC59EC" w:rsidP="00B93633">
      <w:pPr>
        <w:widowControl/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国家市场监管重点实验室（营养与健康化学计量及应用）（以下简称“本重点实验室”）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围绕“十四五规划”和我国二〇三五年营养与健康远景、</w:t>
      </w:r>
      <w:r>
        <w:rPr>
          <w:rFonts w:asciiTheme="minorEastAsia" w:hAnsiTheme="minorEastAsia" w:hint="eastAsia"/>
          <w:color w:val="000000"/>
          <w:sz w:val="28"/>
          <w:szCs w:val="28"/>
        </w:rPr>
        <w:t>营养与健康领域国家市场监管总体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目标，定位于针对“营养与健康”领域国家市场监管与产业发展急需，立足需求牵引，系统规划成份量计量标准体系。</w:t>
      </w:r>
      <w:r>
        <w:rPr>
          <w:rFonts w:asciiTheme="minorEastAsia" w:hAnsiTheme="minorEastAsia" w:hint="eastAsia"/>
          <w:sz w:val="28"/>
          <w:szCs w:val="28"/>
        </w:rPr>
        <w:t>按照《</w:t>
      </w:r>
      <w:r>
        <w:rPr>
          <w:rFonts w:asciiTheme="minorEastAsia" w:hAnsiTheme="minorEastAsia"/>
          <w:sz w:val="28"/>
          <w:szCs w:val="28"/>
        </w:rPr>
        <w:t>国家市场监管重点实验室建设计划任务书</w:t>
      </w:r>
      <w:r>
        <w:rPr>
          <w:rFonts w:asciiTheme="minorEastAsia" w:hAnsiTheme="minorEastAsia" w:hint="eastAsia"/>
          <w:sz w:val="28"/>
          <w:szCs w:val="28"/>
        </w:rPr>
        <w:t>》工作计划，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设立</w:t>
      </w:r>
      <w:r>
        <w:rPr>
          <w:rFonts w:asciiTheme="minorEastAsia" w:hAnsiTheme="minorEastAsia" w:hint="eastAsia"/>
          <w:sz w:val="28"/>
          <w:szCs w:val="28"/>
        </w:rPr>
        <w:t>本</w:t>
      </w:r>
      <w:r>
        <w:rPr>
          <w:rFonts w:asciiTheme="minorEastAsia" w:hAnsiTheme="minorEastAsia"/>
          <w:sz w:val="28"/>
          <w:szCs w:val="28"/>
        </w:rPr>
        <w:t>实验室</w:t>
      </w:r>
      <w:r>
        <w:rPr>
          <w:rFonts w:asciiTheme="minorEastAsia" w:hAnsiTheme="minorEastAsia" w:hint="eastAsia"/>
          <w:sz w:val="28"/>
          <w:szCs w:val="28"/>
        </w:rPr>
        <w:t>年度对</w:t>
      </w:r>
      <w:r>
        <w:rPr>
          <w:rFonts w:asciiTheme="minorEastAsia" w:hAnsiTheme="minorEastAsia"/>
          <w:sz w:val="28"/>
          <w:szCs w:val="28"/>
        </w:rPr>
        <w:t>外开放课题。</w:t>
      </w:r>
      <w:r>
        <w:rPr>
          <w:rFonts w:asciiTheme="minorEastAsia" w:hAnsiTheme="minorEastAsia" w:hint="eastAsia"/>
          <w:sz w:val="28"/>
          <w:szCs w:val="28"/>
        </w:rPr>
        <w:t>本年度</w:t>
      </w:r>
      <w:r>
        <w:rPr>
          <w:rFonts w:asciiTheme="minorEastAsia" w:hAnsiTheme="minorEastAsia"/>
          <w:sz w:val="28"/>
          <w:szCs w:val="28"/>
        </w:rPr>
        <w:t>主</w:t>
      </w:r>
      <w:r>
        <w:rPr>
          <w:rFonts w:asciiTheme="minorEastAsia" w:hAnsiTheme="minorEastAsia" w:hint="eastAsia"/>
          <w:sz w:val="28"/>
          <w:szCs w:val="28"/>
        </w:rPr>
        <w:t>要</w:t>
      </w:r>
      <w:r>
        <w:rPr>
          <w:rFonts w:asciiTheme="minorEastAsia" w:hAnsiTheme="minorEastAsia"/>
          <w:sz w:val="28"/>
          <w:szCs w:val="28"/>
        </w:rPr>
        <w:t>研究</w:t>
      </w:r>
      <w:r>
        <w:rPr>
          <w:rFonts w:asciiTheme="minorEastAsia" w:hAnsiTheme="minorEastAsia" w:hint="eastAsia"/>
          <w:sz w:val="28"/>
          <w:szCs w:val="28"/>
        </w:rPr>
        <w:t>任务要求</w:t>
      </w:r>
      <w:r>
        <w:rPr>
          <w:rFonts w:asciiTheme="minorEastAsia" w:hAnsiTheme="minorEastAsia"/>
          <w:sz w:val="28"/>
          <w:szCs w:val="28"/>
        </w:rPr>
        <w:t>如下：</w:t>
      </w:r>
    </w:p>
    <w:p w14:paraId="3BE60A12" w14:textId="77777777" w:rsidR="00A53A13" w:rsidRDefault="00FC59EC" w:rsidP="00B93633">
      <w:pPr>
        <w:widowControl/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>
        <w:rPr>
          <w:rFonts w:asciiTheme="minorEastAsia" w:hAnsiTheme="minorEastAsia"/>
          <w:sz w:val="28"/>
          <w:szCs w:val="28"/>
        </w:rPr>
        <w:t>课题研究周期：</w:t>
      </w:r>
      <w:r>
        <w:rPr>
          <w:rFonts w:asciiTheme="minorEastAsia" w:hAnsiTheme="minorEastAsia" w:hint="eastAsia"/>
          <w:sz w:val="28"/>
          <w:szCs w:val="28"/>
        </w:rPr>
        <w:t>1年</w:t>
      </w:r>
    </w:p>
    <w:p w14:paraId="031D3B0C" w14:textId="77777777" w:rsidR="00A53A13" w:rsidRDefault="00FC59EC" w:rsidP="00B93633">
      <w:pPr>
        <w:widowControl/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>
        <w:rPr>
          <w:rFonts w:asciiTheme="minorEastAsia" w:hAnsiTheme="minorEastAsia"/>
          <w:sz w:val="28"/>
          <w:szCs w:val="28"/>
        </w:rPr>
        <w:t>课题总经费：</w:t>
      </w:r>
      <w:r>
        <w:rPr>
          <w:rFonts w:asciiTheme="minorEastAsia" w:hAnsiTheme="minorEastAsia" w:hint="eastAsia"/>
          <w:sz w:val="28"/>
          <w:szCs w:val="28"/>
        </w:rPr>
        <w:t>约28万</w:t>
      </w:r>
      <w:r>
        <w:rPr>
          <w:rFonts w:asciiTheme="minorEastAsia" w:hAnsiTheme="minorEastAsia"/>
          <w:sz w:val="28"/>
          <w:szCs w:val="28"/>
        </w:rPr>
        <w:t>元</w:t>
      </w:r>
    </w:p>
    <w:p w14:paraId="6C59F10B" w14:textId="77777777" w:rsidR="00B93633" w:rsidRDefault="00FC59EC" w:rsidP="00B93633">
      <w:pPr>
        <w:widowControl/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>
        <w:rPr>
          <w:rFonts w:asciiTheme="minorEastAsia" w:hAnsiTheme="minorEastAsia"/>
          <w:sz w:val="28"/>
          <w:szCs w:val="28"/>
        </w:rPr>
        <w:t>课题研究主要内容：</w:t>
      </w:r>
    </w:p>
    <w:p w14:paraId="7A488566" w14:textId="77777777" w:rsidR="00B93633" w:rsidRDefault="00FC59EC" w:rsidP="00B93633">
      <w:pPr>
        <w:widowControl/>
        <w:spacing w:line="520" w:lineRule="exact"/>
        <w:ind w:firstLineChars="200" w:firstLine="562"/>
        <w:rPr>
          <w:b/>
          <w:bCs/>
          <w:sz w:val="28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1）</w:t>
      </w:r>
      <w:bookmarkStart w:id="0" w:name="OLE_LINK1"/>
      <w:r w:rsidR="00DD59E9" w:rsidRPr="001136D1">
        <w:rPr>
          <w:rFonts w:hint="eastAsia"/>
          <w:b/>
          <w:bCs/>
          <w:sz w:val="28"/>
          <w:szCs w:val="32"/>
        </w:rPr>
        <w:t>胃泌素释放肽前体的精准测量及在肺癌诊断中的应用</w:t>
      </w:r>
      <w:r w:rsidR="00DD59E9">
        <w:rPr>
          <w:rFonts w:hint="eastAsia"/>
          <w:b/>
          <w:bCs/>
          <w:sz w:val="28"/>
          <w:szCs w:val="32"/>
        </w:rPr>
        <w:t>研究</w:t>
      </w:r>
      <w:bookmarkEnd w:id="0"/>
    </w:p>
    <w:p w14:paraId="15BD3CDD" w14:textId="77777777" w:rsidR="00B93633" w:rsidRDefault="00DD59E9" w:rsidP="00B93633">
      <w:pPr>
        <w:widowControl/>
        <w:spacing w:line="52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DD59E9">
        <w:rPr>
          <w:rFonts w:asciiTheme="minorEastAsia" w:hAnsiTheme="minorEastAsia"/>
          <w:color w:val="000000"/>
          <w:sz w:val="28"/>
          <w:szCs w:val="28"/>
        </w:rPr>
        <w:t>建立基于</w:t>
      </w:r>
      <w:r w:rsidRPr="00DD59E9">
        <w:rPr>
          <w:rFonts w:asciiTheme="minorEastAsia" w:hAnsiTheme="minorEastAsia" w:hint="eastAsia"/>
          <w:color w:val="000000"/>
          <w:sz w:val="28"/>
          <w:szCs w:val="28"/>
        </w:rPr>
        <w:t>功能化</w:t>
      </w:r>
      <w:r w:rsidRPr="00DD59E9">
        <w:rPr>
          <w:rFonts w:asciiTheme="minorEastAsia" w:hAnsiTheme="minorEastAsia"/>
          <w:color w:val="000000"/>
          <w:sz w:val="28"/>
          <w:szCs w:val="28"/>
        </w:rPr>
        <w:t>纳米材料</w:t>
      </w:r>
      <w:r w:rsidRPr="00DD59E9">
        <w:rPr>
          <w:rFonts w:asciiTheme="minorEastAsia" w:hAnsiTheme="minorEastAsia" w:hint="eastAsia"/>
          <w:color w:val="000000"/>
          <w:sz w:val="28"/>
          <w:szCs w:val="28"/>
        </w:rPr>
        <w:t>结合</w:t>
      </w:r>
      <w:r w:rsidRPr="00DD59E9">
        <w:rPr>
          <w:rFonts w:asciiTheme="minorEastAsia" w:hAnsiTheme="minorEastAsia"/>
          <w:color w:val="000000"/>
          <w:sz w:val="28"/>
          <w:szCs w:val="28"/>
        </w:rPr>
        <w:t>新型抗体的靶向富集策略，实现人外周血ProGRP的高效富集</w:t>
      </w:r>
      <w:r w:rsidRPr="00DD59E9">
        <w:rPr>
          <w:rFonts w:asciiTheme="minorEastAsia" w:hAnsiTheme="minorEastAsia" w:hint="eastAsia"/>
          <w:color w:val="000000"/>
          <w:sz w:val="28"/>
          <w:szCs w:val="28"/>
        </w:rPr>
        <w:t>；</w:t>
      </w:r>
      <w:r w:rsidRPr="00DD59E9">
        <w:rPr>
          <w:rFonts w:asciiTheme="minorEastAsia" w:hAnsiTheme="minorEastAsia"/>
          <w:color w:val="000000"/>
          <w:sz w:val="28"/>
          <w:szCs w:val="28"/>
        </w:rPr>
        <w:t>采用超高效液相色谱和</w:t>
      </w:r>
      <w:bookmarkStart w:id="1" w:name="OLE_LINK2"/>
      <w:r w:rsidRPr="00DD59E9">
        <w:rPr>
          <w:rFonts w:asciiTheme="minorEastAsia" w:hAnsiTheme="minorEastAsia"/>
          <w:color w:val="000000"/>
          <w:sz w:val="28"/>
          <w:szCs w:val="28"/>
        </w:rPr>
        <w:t>离子迁移技术</w:t>
      </w:r>
      <w:bookmarkEnd w:id="1"/>
      <w:r w:rsidRPr="00DD59E9">
        <w:rPr>
          <w:rFonts w:asciiTheme="minorEastAsia" w:hAnsiTheme="minorEastAsia"/>
          <w:color w:val="000000"/>
          <w:sz w:val="28"/>
          <w:szCs w:val="28"/>
        </w:rPr>
        <w:t>实现复杂基质中ProGRP三种分子亚型的快速分离。</w:t>
      </w:r>
      <w:r w:rsidRPr="00DD59E9">
        <w:rPr>
          <w:rFonts w:asciiTheme="minorEastAsia" w:hAnsiTheme="minorEastAsia" w:hint="eastAsia"/>
          <w:color w:val="000000"/>
          <w:sz w:val="28"/>
          <w:szCs w:val="28"/>
        </w:rPr>
        <w:t>使用绿色生物合成技术制备高纯度ProGR</w:t>
      </w:r>
      <w:r w:rsidRPr="00DD59E9">
        <w:rPr>
          <w:rFonts w:asciiTheme="minorEastAsia" w:hAnsiTheme="minorEastAsia"/>
          <w:color w:val="000000"/>
          <w:sz w:val="28"/>
          <w:szCs w:val="28"/>
        </w:rPr>
        <w:t>P</w:t>
      </w:r>
      <w:r w:rsidRPr="00DD59E9">
        <w:rPr>
          <w:rFonts w:asciiTheme="minorEastAsia" w:hAnsiTheme="minorEastAsia" w:hint="eastAsia"/>
          <w:color w:val="000000"/>
          <w:sz w:val="28"/>
          <w:szCs w:val="28"/>
        </w:rPr>
        <w:t>，利用</w:t>
      </w:r>
      <w:r w:rsidRPr="00DD59E9">
        <w:rPr>
          <w:rFonts w:asciiTheme="minorEastAsia" w:hAnsiTheme="minorEastAsia"/>
          <w:color w:val="000000"/>
          <w:sz w:val="28"/>
          <w:szCs w:val="28"/>
        </w:rPr>
        <w:t>高分辨质谱进行精准结构解析，确定不同亚型的特征信号离子，并建立基于平行反应监测技术</w:t>
      </w:r>
      <w:r w:rsidRPr="00DD59E9">
        <w:rPr>
          <w:rFonts w:asciiTheme="minorEastAsia" w:hAnsiTheme="minorEastAsia" w:hint="eastAsia"/>
          <w:color w:val="000000"/>
          <w:sz w:val="28"/>
          <w:szCs w:val="28"/>
        </w:rPr>
        <w:t>和同位素稀释质谱技术</w:t>
      </w:r>
      <w:r w:rsidRPr="00DD59E9">
        <w:rPr>
          <w:rFonts w:asciiTheme="minorEastAsia" w:hAnsiTheme="minorEastAsia"/>
          <w:color w:val="000000"/>
          <w:sz w:val="28"/>
          <w:szCs w:val="28"/>
        </w:rPr>
        <w:t>的</w:t>
      </w:r>
      <w:r w:rsidRPr="00DD59E9">
        <w:rPr>
          <w:rFonts w:asciiTheme="minorEastAsia" w:hAnsiTheme="minorEastAsia" w:hint="eastAsia"/>
          <w:color w:val="000000"/>
          <w:sz w:val="28"/>
          <w:szCs w:val="28"/>
        </w:rPr>
        <w:t>高灵敏</w:t>
      </w:r>
      <w:r w:rsidRPr="00DD59E9">
        <w:rPr>
          <w:rFonts w:asciiTheme="minorEastAsia" w:hAnsiTheme="minorEastAsia"/>
          <w:color w:val="000000"/>
          <w:sz w:val="28"/>
          <w:szCs w:val="28"/>
        </w:rPr>
        <w:t>准确定量方法</w:t>
      </w:r>
      <w:r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Pr="00DD59E9">
        <w:rPr>
          <w:rFonts w:asciiTheme="minorEastAsia" w:hAnsiTheme="minorEastAsia"/>
          <w:color w:val="000000"/>
          <w:sz w:val="28"/>
          <w:szCs w:val="28"/>
        </w:rPr>
        <w:t>为ProGRP</w:t>
      </w:r>
      <w:r w:rsidRPr="00DD59E9">
        <w:rPr>
          <w:rFonts w:asciiTheme="minorEastAsia" w:hAnsiTheme="minorEastAsia" w:hint="eastAsia"/>
          <w:color w:val="000000"/>
          <w:sz w:val="28"/>
          <w:szCs w:val="28"/>
        </w:rPr>
        <w:t>高端标准物质研制奠定重要基础。</w:t>
      </w:r>
    </w:p>
    <w:p w14:paraId="158712DB" w14:textId="77777777" w:rsidR="00B93633" w:rsidRDefault="00FC59EC" w:rsidP="00B93633">
      <w:pPr>
        <w:widowControl/>
        <w:spacing w:line="52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DD59E9">
        <w:rPr>
          <w:rFonts w:asciiTheme="minorEastAsia" w:hAnsiTheme="minorEastAsia" w:hint="eastAsia"/>
          <w:color w:val="000000"/>
          <w:sz w:val="28"/>
          <w:szCs w:val="28"/>
        </w:rPr>
        <w:t>指标：</w:t>
      </w:r>
      <w:r w:rsidR="00DD59E9" w:rsidRPr="00DD59E9">
        <w:rPr>
          <w:rFonts w:asciiTheme="minorEastAsia" w:hAnsiTheme="minorEastAsia" w:hint="eastAsia"/>
          <w:color w:val="000000"/>
          <w:sz w:val="28"/>
          <w:szCs w:val="28"/>
        </w:rPr>
        <w:t>开发1种人外周血ProGRP精准测量方法</w:t>
      </w:r>
      <w:r w:rsidRPr="00DD59E9">
        <w:rPr>
          <w:rFonts w:asciiTheme="minorEastAsia" w:hAnsiTheme="minorEastAsia" w:hint="eastAsia"/>
          <w:color w:val="000000"/>
          <w:sz w:val="28"/>
          <w:szCs w:val="28"/>
        </w:rPr>
        <w:t>，发表论文1篇。</w:t>
      </w:r>
    </w:p>
    <w:p w14:paraId="0B651F5C" w14:textId="1C87EC7C" w:rsidR="00B93633" w:rsidRDefault="00FC59EC" w:rsidP="00B93633">
      <w:pPr>
        <w:widowControl/>
        <w:spacing w:line="52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2）</w:t>
      </w:r>
      <w:r w:rsidR="000B6E75" w:rsidRPr="000B6E75">
        <w:rPr>
          <w:rFonts w:asciiTheme="minorEastAsia" w:hAnsiTheme="minorEastAsia"/>
          <w:b/>
          <w:bCs/>
          <w:sz w:val="28"/>
          <w:szCs w:val="28"/>
        </w:rPr>
        <w:t>基于质谱技术的复杂基质中β淀粉样蛋白精准测定方法</w:t>
      </w:r>
      <w:bookmarkStart w:id="2" w:name="_GoBack"/>
      <w:bookmarkEnd w:id="2"/>
      <w:r w:rsidR="000B6E75" w:rsidRPr="000B6E75">
        <w:rPr>
          <w:rFonts w:asciiTheme="minorEastAsia" w:hAnsiTheme="minorEastAsia"/>
          <w:b/>
          <w:bCs/>
          <w:sz w:val="28"/>
          <w:szCs w:val="28"/>
        </w:rPr>
        <w:t>开发与应用</w:t>
      </w:r>
    </w:p>
    <w:p w14:paraId="060EA5E3" w14:textId="77777777" w:rsidR="00B93633" w:rsidRDefault="00DD59E9" w:rsidP="00B93633">
      <w:pPr>
        <w:widowControl/>
        <w:spacing w:line="52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DD59E9">
        <w:rPr>
          <w:rFonts w:asciiTheme="minorEastAsia" w:hAnsiTheme="minorEastAsia"/>
          <w:color w:val="000000"/>
          <w:sz w:val="28"/>
          <w:szCs w:val="28"/>
        </w:rPr>
        <w:t>建立适用于脑脊液中痕量多肽的前处理方法，优化多肽分子的高效分离和质谱检测手段，以及开发脑脊液中目标物质的精准可溯源测定方法。实现脑脊液环境中AD诊断标志物Aβ的精准测定。</w:t>
      </w:r>
    </w:p>
    <w:p w14:paraId="566058A6" w14:textId="142B93AD" w:rsidR="00A53A13" w:rsidRPr="00B93633" w:rsidRDefault="00FC59EC" w:rsidP="00B93633">
      <w:pPr>
        <w:widowControl/>
        <w:spacing w:line="52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B93633">
        <w:rPr>
          <w:rFonts w:asciiTheme="minorEastAsia" w:hAnsiTheme="minorEastAsia" w:hint="eastAsia"/>
          <w:color w:val="000000"/>
          <w:sz w:val="28"/>
          <w:szCs w:val="28"/>
        </w:rPr>
        <w:t>指标：</w:t>
      </w:r>
      <w:r w:rsidR="00DD59E9" w:rsidRPr="00B93633">
        <w:rPr>
          <w:rFonts w:asciiTheme="minorEastAsia" w:hAnsiTheme="minorEastAsia"/>
          <w:color w:val="000000"/>
          <w:sz w:val="28"/>
          <w:szCs w:val="28"/>
        </w:rPr>
        <w:t>建立</w:t>
      </w:r>
      <w:r w:rsidR="00DD59E9" w:rsidRPr="00B93633">
        <w:rPr>
          <w:rFonts w:asciiTheme="minorEastAsia" w:hAnsiTheme="minorEastAsia" w:hint="eastAsia"/>
          <w:color w:val="000000"/>
          <w:sz w:val="28"/>
          <w:szCs w:val="28"/>
        </w:rPr>
        <w:t>脑脊液</w:t>
      </w:r>
      <w:r w:rsidR="00DD59E9" w:rsidRPr="00B93633">
        <w:rPr>
          <w:rFonts w:asciiTheme="minorEastAsia" w:hAnsiTheme="minorEastAsia"/>
          <w:color w:val="000000"/>
          <w:sz w:val="28"/>
          <w:szCs w:val="28"/>
        </w:rPr>
        <w:t>中Aβ的</w:t>
      </w:r>
      <w:r w:rsidR="00DD59E9" w:rsidRPr="00B93633">
        <w:rPr>
          <w:rFonts w:asciiTheme="minorEastAsia" w:hAnsiTheme="minorEastAsia" w:hint="eastAsia"/>
          <w:color w:val="000000"/>
          <w:sz w:val="28"/>
          <w:szCs w:val="28"/>
        </w:rPr>
        <w:t>精准</w:t>
      </w:r>
      <w:r w:rsidR="00DD59E9" w:rsidRPr="00B93633">
        <w:rPr>
          <w:rFonts w:asciiTheme="minorEastAsia" w:hAnsiTheme="minorEastAsia"/>
          <w:color w:val="000000"/>
          <w:sz w:val="28"/>
          <w:szCs w:val="28"/>
        </w:rPr>
        <w:t>定量技术方法1种，发表SCI论文1篇</w:t>
      </w:r>
      <w:r w:rsidR="00B93633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sectPr w:rsidR="00A53A13" w:rsidRPr="00B93633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05C5D" w14:textId="77777777" w:rsidR="00571564" w:rsidRDefault="00571564" w:rsidP="00047802">
      <w:r>
        <w:separator/>
      </w:r>
    </w:p>
  </w:endnote>
  <w:endnote w:type="continuationSeparator" w:id="0">
    <w:p w14:paraId="0823C020" w14:textId="77777777" w:rsidR="00571564" w:rsidRDefault="00571564" w:rsidP="0004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EBCEA" w14:textId="77777777" w:rsidR="00571564" w:rsidRDefault="00571564" w:rsidP="00047802">
      <w:r>
        <w:separator/>
      </w:r>
    </w:p>
  </w:footnote>
  <w:footnote w:type="continuationSeparator" w:id="0">
    <w:p w14:paraId="31311BEF" w14:textId="77777777" w:rsidR="00571564" w:rsidRDefault="00571564" w:rsidP="00047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4E"/>
    <w:rsid w:val="000411CC"/>
    <w:rsid w:val="00047802"/>
    <w:rsid w:val="000B6E75"/>
    <w:rsid w:val="000F1345"/>
    <w:rsid w:val="001051E8"/>
    <w:rsid w:val="0014178E"/>
    <w:rsid w:val="001B35D9"/>
    <w:rsid w:val="002D3021"/>
    <w:rsid w:val="002F68B7"/>
    <w:rsid w:val="003641E2"/>
    <w:rsid w:val="00383189"/>
    <w:rsid w:val="003B219D"/>
    <w:rsid w:val="004509BC"/>
    <w:rsid w:val="00456A33"/>
    <w:rsid w:val="00481892"/>
    <w:rsid w:val="00485B8A"/>
    <w:rsid w:val="004C3F98"/>
    <w:rsid w:val="004F43FE"/>
    <w:rsid w:val="00571564"/>
    <w:rsid w:val="005B494D"/>
    <w:rsid w:val="006D3D92"/>
    <w:rsid w:val="00854DAC"/>
    <w:rsid w:val="00877D1E"/>
    <w:rsid w:val="00915022"/>
    <w:rsid w:val="0093639F"/>
    <w:rsid w:val="009627CA"/>
    <w:rsid w:val="00976150"/>
    <w:rsid w:val="00A03267"/>
    <w:rsid w:val="00A53A13"/>
    <w:rsid w:val="00A700DB"/>
    <w:rsid w:val="00AA6DFB"/>
    <w:rsid w:val="00AC3EBD"/>
    <w:rsid w:val="00AE38B7"/>
    <w:rsid w:val="00B10362"/>
    <w:rsid w:val="00B52798"/>
    <w:rsid w:val="00B82B2A"/>
    <w:rsid w:val="00B93633"/>
    <w:rsid w:val="00C365B1"/>
    <w:rsid w:val="00C6099A"/>
    <w:rsid w:val="00D62A46"/>
    <w:rsid w:val="00DD59E9"/>
    <w:rsid w:val="00E64E27"/>
    <w:rsid w:val="00EF497B"/>
    <w:rsid w:val="00F42204"/>
    <w:rsid w:val="00F563B6"/>
    <w:rsid w:val="00FA5B1F"/>
    <w:rsid w:val="00FB544E"/>
    <w:rsid w:val="00FC59EC"/>
    <w:rsid w:val="00FD2827"/>
    <w:rsid w:val="06431B15"/>
    <w:rsid w:val="202E3741"/>
    <w:rsid w:val="5C562657"/>
    <w:rsid w:val="71224F67"/>
    <w:rsid w:val="77C0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34B04"/>
  <w15:docId w15:val="{115AEBF2-B97F-4A59-B463-E08BBB32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47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780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7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78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王建东</dc:creator>
  <cp:lastModifiedBy>Windows 用户</cp:lastModifiedBy>
  <cp:revision>4</cp:revision>
  <dcterms:created xsi:type="dcterms:W3CDTF">2023-04-07T06:45:00Z</dcterms:created>
  <dcterms:modified xsi:type="dcterms:W3CDTF">2023-04-07T11:15:00Z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B96060952C31479A91511E58C3721C79</vt:lpwstr>
  </property>
</Properties>
</file>